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67" w:rsidRDefault="004F0B67" w:rsidP="004F0B67">
      <w:pPr>
        <w:ind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115936" cy="9377916"/>
            <wp:effectExtent l="19050" t="0" r="0" b="0"/>
            <wp:docPr id="1" name="Рисунок 1" descr="C:\Users\Секретарь\Pictures\2020-07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20-07-08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9000"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936" cy="937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C47" w:rsidRPr="008150F8" w:rsidRDefault="00527C47" w:rsidP="004F0B67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Самоплагіат</w:t>
      </w:r>
      <w:proofErr w:type="spellEnd"/>
      <w:r w:rsidR="00C73678" w:rsidRPr="008150F8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або повністю) власних раніше опублікованих наукових результаті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як нових.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Фабрикація</w:t>
      </w:r>
      <w:r w:rsidR="00C73678" w:rsidRPr="008150F8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– вигадування даних чи фактів, що використовуються в освітньому процесі або наукових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ідженнях.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Фальсифікація</w:t>
      </w:r>
      <w:r w:rsidR="00C73678" w:rsidRPr="008150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ідома зміна чи модифікація вже наявних даних, що стосуються освітнього процесу чи наукових досліджень.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Списування</w:t>
      </w:r>
      <w:r w:rsidR="00C73678" w:rsidRPr="008150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– виконання письмових робіт із залученням зовнішніх джерел інформації (шпаргалки, мікронавушники, телефони, планшети, тощо), крім дозволених для використання, зокрема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 час оцінювання результатів навчання, а також повторне використання раніше виконаної іншою особою письмової роботи (лабораторної, контрольної, самостійної, індивідуальної, тощо).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Обман</w:t>
      </w:r>
      <w:r w:rsidR="00C73678" w:rsidRPr="008150F8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t>–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є,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зокрема, академічний плагіат, самоплагіат, фабрикація, фальсифікація та списування.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Хабарництво</w:t>
      </w:r>
      <w:r w:rsidR="00C73678" w:rsidRPr="008150F8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– 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ільг чи будь-яких інших благ матеріального чи нематеріального характеру з метою отримання неправомірної переваги в освітньому процесі.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Зловживання впливом</w:t>
      </w:r>
      <w:r w:rsidR="00C73678" w:rsidRPr="008150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– пропозиція, обіцянка або надання неправомірної вигоди особі, яка пропонує чи обіцяє (погоджується) за таку вигоду або за надання такої вигоди третій особі вплинути на прийняття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ішення особою, уповноваженою на виконання функцій держави.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Необ’єктивне оцінювання</w:t>
      </w:r>
      <w:r w:rsidR="00C73678" w:rsidRPr="008150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ідоме завищення або заниження оцінки результатів навчання здобувачів освіти.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2.3. Академічна доброчесність впроваджується через систему принципів: законності, професіоналізму, чесності, взаємоповаги,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ічливості, справедливості, відповідальності, прозорості, толерантності.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2.4. Кожен член шкільної спільноти наділений правом вільно обирати свою громадянську позицію, яка проголошується відкрито при обговоренні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ішень та внутрішніх документів.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2.5. Офіційне висвітлення діяльності закладу та напрямів його розвитку може здійснювати директор школи або особа за його дорученням.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2.6. У разі, якщо відбулося розповсюдження інформації, яка є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неправдивою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3.ЗАБЕЗПЕЧЕННЯ АКАДЕМІЧНОЇ ДОБРОЧЕСНОСТІ УЧАСНИКАМИ ОСВІТНЬОГО ПРОЦЕСУ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Академічна доброчесність забезпечується:</w:t>
      </w:r>
    </w:p>
    <w:p w:rsidR="008150F8" w:rsidRDefault="008150F8" w:rsidP="008150F8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3.1. Усіма співробітниками та учасниками освітнього процесу школи шляхом: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3.1.1. Уникнення провокування дій, пов’язаних з корупційними правопорушеннями.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3.1.2. Дотримання норм Конституції України.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3.1.3. Дотримання Статуту школи та Правил внутрішнього розпорядку.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3.1.4. Дотримання норм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чинного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законодавства України в сфері освіти та загальної середньої освіти.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3.1.5. Збереження, поліпшення та раціонального використання навчально – матеріальної бази школи.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3.1.6. Культури зовнішнього вигляду співробітникі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та учасників освітнього процесу.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3.1.7. Дотримання правил високих стандартів ділової етики у веденні переговорів, у тому числі телефонних, які мають вестися у спокійному,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ічливому, доброзичливому тоні, що сприяє створенню позитивної репутації школи загалом.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3.1.8. Надання достовірної інформації.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3.1.9. Негайного повідомлення адміністрації закладу у разі отримання для виконання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ішень чи доручень, які є незаконними або такими, що становлять загрозу правам, свободам чи інтересам окремих громадян, юридичних осіб, державним або суспільним інтересам.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3.1.10.Відповідальності за порушення академічної доброчесності.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3.2. Педагогічними працівниками шляхом: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3.2.1. Якісного, вчасного та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результативного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виконання своїх функціональнихобов’язків.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3.2.2. Дотримання правил внутрішнього розпорядку, трудової дисципліни, корпоративної етики.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3.2.3. Обов’язкової присутності, активної участі на засіданнях педагогічної ради та колегіальної відповідальності за прийняті управлінські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ішення.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3.2.4.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Незалежності професійної діяльності від політичних партій, громадських і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ігійних організацій.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3.2.5.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ідвищення своєї кваліфікації шляхом саморозвитку і самовдосконалення, а також вчасного проходження відповідно до вимог законодавства курсової підготовки.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3.2.6. Дотримання правил посилання на джерела інформації у разі використання відомостей, написання методичних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іалів, наукових робіт, тощо.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3.2.7. Надання якісних освітніх послуг з використанням в практичній професійній діяльності інноваційних здобутків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галузі освіти.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3.2.8. Об’єктивного і неупередженого оцінювання результатів навчання здобувачів освіти.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3.2.9. Здійснення контролю за дотриманням академічної доброчесності здобувачами загальної середньої освіти.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3.2.10. Інформування здобувачів освіти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типові порушення академічної доброчесності та види відповідальності за її порушення.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3.2.11.Не розголошення конфіденційної інформації, інформації з обмеженим доступом та інших видів інформації відповідно до вимог законодавства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сфері інформації та звернення громадян.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3.3. Здобувачами загальної середньої освіти шляхом: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3.3.1. Поваги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педагогічних працівників.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3.3.2. Поваги честі і гідності інших осіб, навіть, якщо їх погляди ві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ізняються від власних переконань.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3.3.3. Присутності на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іх навчальних заняттях, окрім випадків, викликаних поважними причинами.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3.3.4. Самостійного виконання навчальних завдань, завдань поточного та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ідсумкового контролю результатів навчання.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3.3.5. Подання на оцінювання лише самостійно виконаної роботи, що не є запозиченою або переробленою з іншої, виконаної третіми особами.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3.3.6. Використанням у навчальній або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ідницькій діяльності лише перевірених і достовірних джерел інформації та грамотного посилання на них.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3.3.7.Постійна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ідготовка до уроків, виконання домашніх завдань;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3.3.8.  Самостійне подання щоденника для виставлення педагогом одержаних балів;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3.3.9. Надання достовірної інформації про власні результати навчання батькам (особам, які їх замінюють).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3.3.10. Дотримання правил культури зовнішнього вигляду.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3.3.11. Дотримання правил етики у спілкуванні з однолітками та дорослими.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3.3.12. Невикористання мобільних телефонів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 час освітнього процесу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3.3.13. Не припустимості пропонування хабаря за отримання будь-яких переваг у навчальній або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ідницькій діяльності, у тому числі з метою зміни отриманої академічної оцінки.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3.4. Батьками здобувачів загальної середньої освіти або особами, які їх заміняють,  шляхом: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3.4.1. 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Виховання у дітей поваги до гідності, прав, свобод і законних інтересів однокласників, учнів інших класів, вчителів та інших людей.</w:t>
      </w:r>
      <w:proofErr w:type="gramEnd"/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3.4.2. Виховання відповідального ставлення до власного фізичного та психічного здоров’я, здоров’я оточуючих і довкілля, формування навичок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здорового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способу життя.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3.4.3. Формування у дитини культури життя у взаєморозумінні, мирі та злагоді, а також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загальнолюдських цінностей, як справедливість, патріотизм, гуманізм, толерантність, працелюбство.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3.4.4. Виховання поваги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державної мови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державних символів України, усвідомлення необхідності дотримуватися Конституції та законів України, Статуту школи, правил внутрішнього розпорядку.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3.4.5. Сприяння виконанню дитиною освітньої програми та досягнення дитиною передбачених нею результатів навчання, самостійного виконання нею навчальних завдань, завдань поточного та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ідсумкового контролю результатів навчання.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3.5. Неприйнятним для </w:t>
      </w:r>
      <w:proofErr w:type="gramStart"/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вс</w:t>
      </w:r>
      <w:proofErr w:type="gramEnd"/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іх учасників шкільної спільноти є: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3.5.1. Навмисне перешкоджання навчальній чи трудовій діяльності членів спільноти.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3.5.2. Участь у будь-якій діяльності, що пов’язана з обманом, нечесністю;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ідробка та використання документів.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3.5.3. Перевищення повноважень, що передбачені посадовими інструкціями, контрактами.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3.5.4. Використання мобільних телефонів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 час навчальних занять, нарад або офіційних заходів.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3.5.5. Вживання наркотичних речовин, алкогольних напоїв, паління у тому числі і електронних сигарет, поява у стані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алкогольного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, наркотичного та токсичного сп’яніння.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3.5.6. Пронесення зброї, використання газових балончиків та інших речей, що можуть зашкодити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’ю та життю людини.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ЗАХОДИ </w:t>
      </w:r>
      <w:proofErr w:type="gramStart"/>
      <w:r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ПОПЕРЕДЖЕННЯ, ВИЯВЛЕННЯ ТА ВСТАНОВЛЕННЯ ФАКТІВ ПОРУШЕННЯ АКАДЕМІЧНОЇ ДОБРОЧЕСНОСТІ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4.1. При прийомі на роботу працівник знайомиться із даним Положенням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 розписку після ознайомлення із правилами внутрішнього розпорядку школи.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4.2. Положення доводиться до батьківської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громади на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конференції, а також оприлюднюється на сайті закладу.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4.3. Заступник директора школи, який відповідає за методичну роботу: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Забезпечує шляхом практикумів, консультацій та інших колективних та індивідуальних форм навчання з педагогічними працівниками допомагає у створенні, оформленні ними методичних розробок для публікацій на конкурси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ізного рівня з метою попередження порушень академічної доброчесності;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Використовує у своїй діяльності (рецензування робіт на конкурси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ізного рівня, на присвоєння педагогічного звання) та рекомендує вчителям сервіси безкоштовної перевірки робіт на анти-плагіат.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4.4. Педагогічні працівники в процесі своєї освітньої діяльності дотримуються етики та академічної доброчесності, умов даного Положення, проводять роз’яснювальну роботу з </w:t>
      </w:r>
      <w:r w:rsidRPr="008150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учнями щодо норм етичної поведінки та неприпустимості порушення академічної доброчесності (плагіат, порушення правил оформлення цитування, посилання на джерела інформації, списування, тощо).</w:t>
      </w:r>
    </w:p>
    <w:p w:rsidR="001F3632" w:rsidRPr="008150F8" w:rsidRDefault="00C73678" w:rsidP="008150F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1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5. ВИДИ ВІДПОВІДАЛЬНОСТІ ЗА ПОРУШЕННЯ АКАДЕМІЧНОЇ ВІДПОВІДАЛЬНОСТІ</w:t>
      </w:r>
    </w:p>
    <w:p w:rsidR="001F3632" w:rsidRPr="008150F8" w:rsidRDefault="00C73678" w:rsidP="00815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50F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1F3632" w:rsidRPr="0081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Види академічної відповідальності за конкретне порушення академічної доброчинності визначають спеціальні закони та внутрішнє Положення НВК</w:t>
      </w:r>
      <w:proofErr w:type="gramStart"/>
      <w:r w:rsidR="001F3632" w:rsidRPr="0081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B5C4A" w:rsidRPr="008150F8" w:rsidRDefault="000B5C4A" w:rsidP="008150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uk-UA" w:eastAsia="ru-RU"/>
        </w:rPr>
      </w:pPr>
    </w:p>
    <w:tbl>
      <w:tblPr>
        <w:tblW w:w="9723" w:type="dxa"/>
        <w:tblBorders>
          <w:top w:val="single" w:sz="6" w:space="0" w:color="00FEE9"/>
          <w:left w:val="single" w:sz="6" w:space="0" w:color="00FEE9"/>
          <w:bottom w:val="single" w:sz="6" w:space="0" w:color="00FEE9"/>
          <w:right w:val="single" w:sz="6" w:space="0" w:color="00FEE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0"/>
        <w:gridCol w:w="1381"/>
        <w:gridCol w:w="2126"/>
        <w:gridCol w:w="2552"/>
        <w:gridCol w:w="1984"/>
      </w:tblGrid>
      <w:tr w:rsidR="001F3632" w:rsidRPr="008150F8" w:rsidTr="008150F8">
        <w:tc>
          <w:tcPr>
            <w:tcW w:w="168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Порушення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академічної доброчесності</w:t>
            </w:r>
          </w:p>
        </w:tc>
        <w:tc>
          <w:tcPr>
            <w:tcW w:w="1381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Суб’єкти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порушення</w:t>
            </w: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Обставини та умови  порушення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академічної доброчесності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Наслідки  і форма відповідальності</w:t>
            </w:r>
          </w:p>
        </w:tc>
        <w:tc>
          <w:tcPr>
            <w:tcW w:w="1984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 / посадова особа, який приймає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 про призначення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виду відповідальності</w:t>
            </w:r>
          </w:p>
        </w:tc>
      </w:tr>
      <w:tr w:rsidR="001F3632" w:rsidRPr="008150F8" w:rsidTr="008150F8">
        <w:tc>
          <w:tcPr>
            <w:tcW w:w="1680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Списування</w:t>
            </w:r>
          </w:p>
        </w:tc>
        <w:tc>
          <w:tcPr>
            <w:tcW w:w="1381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Здобувачі освіти</w:t>
            </w: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самостійні роботи;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контрольні роботи;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контрольні зрізи знань;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 оцінювання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  екстернів)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моніторинги якості знань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Повторне письмове проходження оцінювання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термін -1 тиждень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 повторне проходження відповідного освітнього компонента освітньої програми</w:t>
            </w:r>
          </w:p>
        </w:tc>
        <w:tc>
          <w:tcPr>
            <w:tcW w:w="1984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1F3632" w:rsidRPr="008150F8" w:rsidTr="008150F8">
        <w:tc>
          <w:tcPr>
            <w:tcW w:w="1680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center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center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-державна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ідсумкова атестація;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 оцінювання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для  екстернів)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Повторне проходження оцінювання  за графіком проведення  ДПА у школі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зарахування  результаті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Атестаційна комісія державної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ідсумкової атестації</w:t>
            </w:r>
          </w:p>
        </w:tc>
      </w:tr>
      <w:tr w:rsidR="001F3632" w:rsidRPr="008150F8" w:rsidTr="008150F8">
        <w:tc>
          <w:tcPr>
            <w:tcW w:w="1680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center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center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-І ета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шкільний) Всеукраїнських  учнівських олімпіад, конкурсів;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Робота учасника анулюється, не оцінюється.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разі повторних випадків списування учасник не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допускається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участі в інших  олімпіадах, конкурсах</w:t>
            </w:r>
          </w:p>
        </w:tc>
        <w:tc>
          <w:tcPr>
            <w:tcW w:w="1984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Оргкомітет, журі</w:t>
            </w:r>
          </w:p>
        </w:tc>
      </w:tr>
      <w:tr w:rsidR="001F3632" w:rsidRPr="008150F8" w:rsidTr="008150F8">
        <w:tc>
          <w:tcPr>
            <w:tcW w:w="168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Необ’єктивне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оцінювання результатів навчання здобувачі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</w:tc>
        <w:tc>
          <w:tcPr>
            <w:tcW w:w="1381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Педагогічні працівники</w:t>
            </w:r>
          </w:p>
        </w:tc>
        <w:tc>
          <w:tcPr>
            <w:tcW w:w="2126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ідоме завищення або заниження оцінки результатів навчання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-усні відповіді;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-домашні роботи;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-контрольні роботи;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-лабораторні та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практичні роботи;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-ДПА;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-тематичне оцінювання;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моніторинги;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-олімпіадні та конкурсні роботи</w:t>
            </w:r>
          </w:p>
        </w:tc>
        <w:tc>
          <w:tcPr>
            <w:tcW w:w="2552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Педагогічному працівнику рекомендується опрацювати критерії оцінювання знань. Факти  систематичних порушень враховуються  при встановленні </w:t>
            </w: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кваліфікаційної категорії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присвоєнні педагогічних  звань</w:t>
            </w:r>
          </w:p>
        </w:tc>
        <w:tc>
          <w:tcPr>
            <w:tcW w:w="1984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Адміністрація школи, атестаційні  комісії усіх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івнів</w:t>
            </w:r>
          </w:p>
        </w:tc>
      </w:tr>
      <w:tr w:rsidR="001F3632" w:rsidRPr="008150F8" w:rsidTr="008150F8">
        <w:tc>
          <w:tcPr>
            <w:tcW w:w="168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Обман: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Фальсифікація</w:t>
            </w:r>
          </w:p>
        </w:tc>
        <w:tc>
          <w:tcPr>
            <w:tcW w:w="1381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Педагогічні працівники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 автори</w:t>
            </w:r>
          </w:p>
        </w:tc>
        <w:tc>
          <w:tcPr>
            <w:tcW w:w="2126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Навчально-методичні освітні продукти, створені педагогічними працівниками: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-методичні рекомендації;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-навчальний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ібник;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-навчально-методичний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ібник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-наочний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ібник;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-практичний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ібник;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-навчальний наочний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ібник;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-збірка;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-методична збірка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-методичний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вісник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-стаття;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-методична розробка</w:t>
            </w:r>
          </w:p>
        </w:tc>
        <w:tc>
          <w:tcPr>
            <w:tcW w:w="2552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випадку встановлення порушень такого порядку: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спотворене представлення у методичних розробках, публікаціях чужих розробок, ідей, синтезу або компіляції чужих джерел, використання Інтернету без посилань, фальсифікація наукових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іджень, неправдива інформація про власну освітню діяльність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є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ідставою для відмови в присвоєнні або позбавлені раніше присвоєного педагогічного звання, кваліфікаційної категорії</w:t>
            </w:r>
          </w:p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в разі встановлення в атестаційний період  фактів списування здобувачами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 час контрольних зрізів знань, фальсифікації результатів власної педагогічної діяльності</w:t>
            </w:r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позбавлення педагогічного працівника І,ІІ кваліфікаційної категорії</w:t>
            </w:r>
          </w:p>
        </w:tc>
        <w:tc>
          <w:tcPr>
            <w:tcW w:w="1984" w:type="dxa"/>
            <w:vMerge w:val="restart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Педагогічна та методичні  </w:t>
            </w:r>
            <w:proofErr w:type="gramStart"/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  <w:p w:rsidR="002373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школи, атестаційні комісії школи</w:t>
            </w:r>
          </w:p>
        </w:tc>
      </w:tr>
      <w:tr w:rsidR="001F3632" w:rsidRPr="008150F8" w:rsidTr="008150F8">
        <w:tc>
          <w:tcPr>
            <w:tcW w:w="168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Фабрикація</w:t>
            </w:r>
          </w:p>
        </w:tc>
        <w:tc>
          <w:tcPr>
            <w:tcW w:w="1381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32" w:rsidRPr="008150F8" w:rsidTr="008150F8">
        <w:tc>
          <w:tcPr>
            <w:tcW w:w="1680" w:type="dxa"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Плагіат</w:t>
            </w:r>
          </w:p>
        </w:tc>
        <w:tc>
          <w:tcPr>
            <w:tcW w:w="1381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49AFCD"/>
              <w:left w:val="single" w:sz="6" w:space="0" w:color="49AFCD"/>
              <w:bottom w:val="single" w:sz="6" w:space="0" w:color="49AFCD"/>
              <w:right w:val="single" w:sz="6" w:space="0" w:color="49AFCD"/>
            </w:tcBorders>
            <w:shd w:val="clear" w:color="auto" w:fill="FFFFFF"/>
            <w:vAlign w:val="bottom"/>
            <w:hideMark/>
          </w:tcPr>
          <w:p w:rsidR="001F3632" w:rsidRPr="008150F8" w:rsidRDefault="001F3632" w:rsidP="00815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632" w:rsidRPr="008150F8" w:rsidRDefault="001F3632" w:rsidP="00815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27C47" w:rsidRPr="008150F8" w:rsidRDefault="00C73678" w:rsidP="008150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6</w:t>
      </w:r>
      <w:r w:rsidR="00527C47"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ВІДПОВІДАЛЬНІСТЬ ЗА ПОРУШЕННЯ АКАДЕМІЧНОЇ ДОБРОЧЕСНОСТІ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Відповідальність за порушення академічної доброчесності педагогічних працівникі</w:t>
      </w:r>
      <w:proofErr w:type="gramStart"/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.1. Відмова у встановленні кваліфікаційної категорії, присвоєнні педагогічного звання.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6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.2. Позбавлення раніше встановленої категорії.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.3. Позбавлення права брати участь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роботі визначених законом органів чи займати визначені законом посади.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Відповідальність за порушення академічної доброчесності здобувачів освіти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.4. У разі списування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ід час конкурсів, I етапу Всеукраїнської учнівської олімпіади робота учасника анулюється. У разі повторних випадків учасник не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допускається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до участі в інших конкурсах, олімпіадах.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.5. Повторне проходження оцінювання (контрольна робота, атестація тощо)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чи не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зарахування результатів самостійних, контрольних робіт, іспитів, тощо;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.6. Повторне проходження відповідного освітнього компонента освітньої програми;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.7. Повідомлення батькам/особам, які їх замінюють (усно, письмово, телефоном);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6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.8. Доведення інформації про академічну не доброчесність здобувачів освіти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ради закладу освіти, загальних зборів тощо.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7</w:t>
      </w:r>
      <w:r w:rsidR="00527C47"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КОМІСІЯ </w:t>
      </w:r>
      <w:proofErr w:type="gramStart"/>
      <w:r w:rsidR="00527C47"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="00527C47"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ПИТАНЬ АКАДЕМІЧНОЇ ДОБРОЧЕСНОСТІ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.1. Комі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з питань академічної доброчесності (далі - Комісія) – це незалежний орган, що діє у школі з метою забезпечення моніторингу дотримання членами шкільної спільноти морально-етичних та правових норм цього Положення.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.2. До складу Комісії входять представники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ади школи, учнівського самоврядування та педагогічного колективу.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Склад комісії затверджується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ішенням педагогічної ради.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Голова, заступник голови та секретар Комісії обираються з числа осіб, що входять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неї.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Голова веде засідання,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ідписує протоколи та рішення тощо.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За відсутності голови Комісії його обов’язки виконує заступник.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 Комісії здійснює повноваження щодо ведення протоколу засідання, технічної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ідготовки матеріалів до розгляду їх на засіданні тощо.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Термін повноважень Комісії – 1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ік.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.3. Комі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ія має такі повноваження: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Виявляти та встановлювати факти порушення академічної доброчесності учасників освітнього процесу школи.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Проводити інформаційну роботу щодо популяризації принципів академічної доброчесності серед учасників освітнього процесу.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Готувати пропозиції, надавати рекомендації та консультації  щодо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ідвищення ефективності впровадження принципів академічної доброчесності в освітню діяльність школи.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Отримувати і розглядати заяви за умови, якщо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носять не анонімний характер, щодо порушення академічної доброчесності учасників освітнього процесу школи.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Залучати до своєї роботи експертів з відповідних галузей, а також використовувати технічні і програмні засоби для встановлення фактів порушення норм академічної доброчесності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поданою заявою.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Доводити результати розгляду заяв щодо порушення академічної доброчесності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0F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50F8">
        <w:rPr>
          <w:rFonts w:ascii="Times New Roman" w:hAnsi="Times New Roman" w:cs="Times New Roman"/>
          <w:sz w:val="24"/>
          <w:szCs w:val="24"/>
          <w:lang w:eastAsia="ru-RU"/>
        </w:rPr>
        <w:t>ідома директора школи для подальшого реагування.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.4. Свої повноваження Комісія здійснює за умови, що кількість її членів, присутні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на засіданні, складатиме не менше ніж дві третини її складу.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ішення приймаються відкритим голосуванням.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ішення вважається прийнятим, якщо за нього проголосувало більше половини присутніх на засіданні членів Комісії. У разі рівного розподілу голосів, голос голови Комісії є вирішальним.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7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.6. За результатами засідання Комі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ії складається протокол. Який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ідписує голова (в разі його відсутності - заступник) та секретар.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8</w:t>
      </w:r>
      <w:r w:rsidR="00527C47"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ЗАКЛЮЧНІ ПОЛОЖЕННЯ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8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.1. Учасники освітнього процесу мають знати Положення про академічну доброчесність. Незнання або нерозуміння норм цього Положення не є виправданням неетичної поведінки. Школа забезпечує публічний доступ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тексту Положення через власний офіційний сайт.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8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proofErr w:type="spell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академічну</w:t>
      </w:r>
      <w:proofErr w:type="spell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доброчесність</w:t>
      </w:r>
      <w:proofErr w:type="spell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615F" w:rsidRPr="008150F8">
        <w:rPr>
          <w:rFonts w:ascii="Times New Roman" w:hAnsi="Times New Roman" w:cs="Times New Roman"/>
          <w:sz w:val="24"/>
          <w:szCs w:val="24"/>
          <w:lang w:val="uk-UA" w:eastAsia="ru-RU"/>
        </w:rPr>
        <w:t>Новопокровського</w:t>
      </w:r>
      <w:proofErr w:type="spellEnd"/>
      <w:r w:rsidR="008D615F" w:rsidRPr="008150F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НВК 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затверджується педагогічною радою школи та вводиться в дію наказом директора.</w:t>
      </w:r>
    </w:p>
    <w:p w:rsidR="00527C47" w:rsidRPr="008150F8" w:rsidRDefault="00C73678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val="uk-UA" w:eastAsia="ru-RU"/>
        </w:rPr>
        <w:t>8</w:t>
      </w:r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.3. Зміни та доповнення до Положення можуть </w:t>
      </w:r>
      <w:proofErr w:type="gramStart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>бути</w:t>
      </w:r>
      <w:proofErr w:type="gramEnd"/>
      <w:r w:rsidR="00527C47" w:rsidRPr="008150F8">
        <w:rPr>
          <w:rFonts w:ascii="Times New Roman" w:hAnsi="Times New Roman" w:cs="Times New Roman"/>
          <w:sz w:val="24"/>
          <w:szCs w:val="24"/>
          <w:lang w:eastAsia="ru-RU"/>
        </w:rPr>
        <w:t xml:space="preserve"> внесені будь-яким учасником освітнього процесу за поданням до педагогічної ради школи та вводяться в дію наказом директора школи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27C47" w:rsidRPr="008150F8" w:rsidRDefault="00527C47" w:rsidP="008150F8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3632" w:rsidRPr="008150F8" w:rsidRDefault="00527C47" w:rsidP="008150F8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150F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27C47" w:rsidRPr="008150F8" w:rsidRDefault="00527C47" w:rsidP="008150F8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6AE7" w:rsidRPr="008150F8" w:rsidRDefault="000E6AE7" w:rsidP="008150F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E6AE7" w:rsidRPr="008150F8" w:rsidSect="008150F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0B1"/>
    <w:multiLevelType w:val="multilevel"/>
    <w:tmpl w:val="8C3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D608A"/>
    <w:multiLevelType w:val="multilevel"/>
    <w:tmpl w:val="A85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948FC"/>
    <w:multiLevelType w:val="hybridMultilevel"/>
    <w:tmpl w:val="5FDAC4FE"/>
    <w:lvl w:ilvl="0" w:tplc="70481CF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27C47"/>
    <w:rsid w:val="000B5C4A"/>
    <w:rsid w:val="000E6AE7"/>
    <w:rsid w:val="001E2FC4"/>
    <w:rsid w:val="001F3632"/>
    <w:rsid w:val="003F1697"/>
    <w:rsid w:val="00475A5E"/>
    <w:rsid w:val="004F0B67"/>
    <w:rsid w:val="00527C47"/>
    <w:rsid w:val="005D2CD0"/>
    <w:rsid w:val="00633CE4"/>
    <w:rsid w:val="007A4C54"/>
    <w:rsid w:val="007F3443"/>
    <w:rsid w:val="008150F8"/>
    <w:rsid w:val="008D615F"/>
    <w:rsid w:val="00B52596"/>
    <w:rsid w:val="00C379C9"/>
    <w:rsid w:val="00C73678"/>
    <w:rsid w:val="00CB5F47"/>
    <w:rsid w:val="00E324D0"/>
    <w:rsid w:val="00EE4C02"/>
    <w:rsid w:val="00FA1907"/>
    <w:rsid w:val="00FA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2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C47"/>
    <w:rPr>
      <w:b/>
      <w:bCs/>
    </w:rPr>
  </w:style>
  <w:style w:type="character" w:styleId="a5">
    <w:name w:val="Emphasis"/>
    <w:basedOn w:val="a0"/>
    <w:uiPriority w:val="20"/>
    <w:qFormat/>
    <w:rsid w:val="00527C47"/>
    <w:rPr>
      <w:i/>
      <w:iCs/>
    </w:rPr>
  </w:style>
  <w:style w:type="paragraph" w:styleId="a6">
    <w:name w:val="No Spacing"/>
    <w:uiPriority w:val="1"/>
    <w:qFormat/>
    <w:rsid w:val="001F363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736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EA892-EF08-4D58-9258-72D35188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2020-03-24T09:40:00Z</cp:lastPrinted>
  <dcterms:created xsi:type="dcterms:W3CDTF">2020-07-08T09:35:00Z</dcterms:created>
  <dcterms:modified xsi:type="dcterms:W3CDTF">2020-07-08T09:35:00Z</dcterms:modified>
</cp:coreProperties>
</file>